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北京市文化市场综合执法总队《涉外文化艺术表演及展览检查单》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演出或展览情况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未经批准，延长在国外或国内停留时间</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是否存在未经批准，延长在国外或国内停留时间</w:t>
      </w:r>
      <w:r>
        <w:rPr>
          <w:rFonts w:hint="eastAsia" w:ascii="仿宋_GB2312" w:hAnsi="仿宋_GB2312" w:eastAsia="仿宋_GB2312" w:cs="仿宋_GB2312"/>
          <w:sz w:val="32"/>
          <w:szCs w:val="32"/>
          <w:lang w:eastAsia="zh-CN"/>
        </w:rPr>
        <w:t>的行为</w:t>
      </w:r>
      <w:bookmarkStart w:id="0" w:name="_GoBack"/>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主办单位如需变更已经文化部批准的涉外文化艺术表演及展览项目内容，或在签订正式合同时变更已经批准的意向书内容，须在活动具体实施前</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天另行报批。</w:t>
      </w:r>
      <w:r>
        <w:rPr>
          <w:rFonts w:hint="eastAsia" w:ascii="仿宋_GB2312" w:hAnsi="仿宋_GB2312" w:eastAsia="仿宋_GB2312" w:cs="仿宋_GB2312"/>
          <w:sz w:val="32"/>
          <w:szCs w:val="32"/>
          <w:lang w:val="en-US" w:eastAsia="zh-CN"/>
        </w:rPr>
        <w:t xml:space="preserve">   </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未经批准，延长在国外或国内停留时间</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情形。</w:t>
      </w:r>
    </w:p>
    <w:p>
      <w:pPr>
        <w:spacing w:line="600" w:lineRule="exact"/>
        <w:ind w:firstLine="640"/>
        <w:rPr>
          <w:rFonts w:ascii="仿宋_GB2312" w:hAnsi="仿宋_GB2312" w:eastAsia="仿宋_GB2312" w:cs="仿宋_GB2312"/>
          <w:sz w:val="32"/>
          <w:szCs w:val="32"/>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5E81B19"/>
    <w:rsid w:val="18864DF2"/>
    <w:rsid w:val="24F9237F"/>
    <w:rsid w:val="4D4F114B"/>
    <w:rsid w:val="5D5D1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16</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2021-09-09T10:05:47Z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6FB2F88BD32645BA88548B82121F0AF4</vt:lpwstr>
  </property>
</Properties>
</file>